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E307A" w14:textId="174F7D20" w:rsidR="00475F0B" w:rsidRDefault="003D1302" w:rsidP="00475F0B">
      <w:pPr>
        <w:spacing w:after="0"/>
        <w:jc w:val="center"/>
        <w:rPr>
          <w:b/>
          <w:bCs/>
          <w:sz w:val="28"/>
          <w:lang w:val="uk-UA"/>
        </w:rPr>
      </w:pPr>
      <w:r w:rsidRPr="00DD313D">
        <w:rPr>
          <w:rFonts w:cstheme="minorHAnsi"/>
          <w:b/>
          <w:bCs/>
          <w:noProof/>
          <w:sz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F800014" wp14:editId="5D6B9A9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2875" cy="8209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F0B" w:rsidRPr="00475F0B">
        <w:rPr>
          <w:b/>
          <w:bCs/>
          <w:sz w:val="28"/>
          <w:lang w:val="uk-UA"/>
        </w:rPr>
        <w:t>Структурні елементи</w:t>
      </w:r>
      <w:r w:rsidR="00475F0B">
        <w:rPr>
          <w:b/>
          <w:bCs/>
          <w:sz w:val="28"/>
          <w:lang w:val="uk-UA"/>
        </w:rPr>
        <w:t xml:space="preserve"> статей</w:t>
      </w:r>
    </w:p>
    <w:p w14:paraId="3CE8B4E6" w14:textId="77777777" w:rsidR="00475F0B" w:rsidRPr="00475F0B" w:rsidRDefault="00475F0B" w:rsidP="00475F0B">
      <w:pPr>
        <w:spacing w:after="0"/>
        <w:jc w:val="center"/>
        <w:rPr>
          <w:b/>
          <w:bCs/>
          <w:sz w:val="28"/>
          <w:lang w:val="uk-UA"/>
        </w:rPr>
      </w:pPr>
    </w:p>
    <w:p w14:paraId="27C67CCE" w14:textId="77777777" w:rsidR="00475F0B" w:rsidRPr="00475F0B" w:rsidRDefault="00475F0B" w:rsidP="00475F0B">
      <w:pPr>
        <w:spacing w:after="0"/>
        <w:rPr>
          <w:b/>
          <w:bCs/>
          <w:sz w:val="24"/>
          <w:lang w:val="uk-UA"/>
        </w:rPr>
      </w:pPr>
      <w:r w:rsidRPr="00475F0B">
        <w:rPr>
          <w:b/>
          <w:bCs/>
          <w:sz w:val="24"/>
          <w:lang w:val="uk-UA"/>
        </w:rPr>
        <w:t>Обов’язкові елементи</w:t>
      </w:r>
    </w:p>
    <w:p w14:paraId="0565680F" w14:textId="77777777" w:rsidR="00475F0B" w:rsidRDefault="00475F0B" w:rsidP="00475F0B">
      <w:pPr>
        <w:spacing w:after="0"/>
        <w:jc w:val="both"/>
        <w:rPr>
          <w:b/>
          <w:bCs/>
          <w:lang w:val="uk-UA"/>
        </w:rPr>
      </w:pPr>
      <w:r w:rsidRPr="00475F0B">
        <w:rPr>
          <w:lang w:val="uk-UA"/>
        </w:rPr>
        <w:t xml:space="preserve">Для всіх типів статей обов’язковими є такі блоки: </w:t>
      </w:r>
      <w:r w:rsidRPr="00475F0B">
        <w:rPr>
          <w:b/>
          <w:bCs/>
          <w:lang w:val="uk-UA"/>
        </w:rPr>
        <w:t>назва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дані про авторів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анотація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ключові слова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вступ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висновки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подяки/фінансування/конфлікт інтересів</w:t>
      </w:r>
      <w:r w:rsidRPr="00475F0B">
        <w:rPr>
          <w:lang w:val="uk-UA"/>
        </w:rPr>
        <w:t xml:space="preserve"> та </w:t>
      </w:r>
      <w:r w:rsidRPr="00475F0B">
        <w:rPr>
          <w:b/>
          <w:bCs/>
          <w:lang w:val="uk-UA"/>
        </w:rPr>
        <w:t>список літератури</w:t>
      </w:r>
      <w:r>
        <w:rPr>
          <w:b/>
          <w:bCs/>
          <w:lang w:val="uk-UA"/>
        </w:rPr>
        <w:t>.</w:t>
      </w:r>
    </w:p>
    <w:p w14:paraId="6366598A" w14:textId="77777777" w:rsidR="00475F0B" w:rsidRDefault="00475F0B" w:rsidP="00475F0B">
      <w:pPr>
        <w:spacing w:after="0"/>
        <w:jc w:val="both"/>
        <w:rPr>
          <w:lang w:val="uk-UA"/>
        </w:rPr>
      </w:pPr>
      <w:r w:rsidRPr="00475F0B">
        <w:rPr>
          <w:lang w:val="uk-UA"/>
        </w:rPr>
        <w:t xml:space="preserve">У емпіричних і теоретичних статтях обов’язково додається розділ </w:t>
      </w:r>
      <w:r w:rsidRPr="00475F0B">
        <w:rPr>
          <w:b/>
          <w:bCs/>
          <w:lang w:val="uk-UA"/>
        </w:rPr>
        <w:t>«Матеріали та методи»</w:t>
      </w:r>
      <w:r w:rsidRPr="00475F0B">
        <w:rPr>
          <w:lang w:val="uk-UA"/>
        </w:rPr>
        <w:t>; в оглядових цей блок замінюється коротким описом методології у вступі.</w:t>
      </w:r>
    </w:p>
    <w:p w14:paraId="04AEC56E" w14:textId="6885E2AA" w:rsidR="00475F0B" w:rsidRPr="00475F0B" w:rsidRDefault="00475F0B" w:rsidP="00475F0B">
      <w:pPr>
        <w:spacing w:after="0"/>
        <w:jc w:val="both"/>
        <w:rPr>
          <w:b/>
          <w:bCs/>
          <w:lang w:val="uk-UA"/>
        </w:rPr>
      </w:pPr>
      <w:r w:rsidRPr="00475F0B">
        <w:rPr>
          <w:lang w:val="uk-UA"/>
        </w:rPr>
        <w:t xml:space="preserve">У розділі </w:t>
      </w:r>
      <w:r w:rsidRPr="00475F0B">
        <w:rPr>
          <w:b/>
          <w:bCs/>
          <w:lang w:val="uk-UA"/>
        </w:rPr>
        <w:t>«Результати та обговорення»</w:t>
      </w:r>
      <w:r w:rsidRPr="00475F0B">
        <w:rPr>
          <w:lang w:val="uk-UA"/>
        </w:rPr>
        <w:t xml:space="preserve"> емпіричних і теоретичних статей подаються всі висновки та їх інтерпретація; в оглядових статтях матеріал структурується за тематичними підрозділами</w:t>
      </w:r>
    </w:p>
    <w:p w14:paraId="32C15112" w14:textId="77777777" w:rsidR="00475F0B" w:rsidRDefault="00475F0B" w:rsidP="00475F0B">
      <w:pPr>
        <w:spacing w:after="0"/>
        <w:rPr>
          <w:b/>
          <w:bCs/>
          <w:lang w:val="uk-UA"/>
        </w:rPr>
      </w:pPr>
    </w:p>
    <w:p w14:paraId="3FD8B13A" w14:textId="7355844C" w:rsidR="00475F0B" w:rsidRPr="00475F0B" w:rsidRDefault="00475F0B" w:rsidP="00475F0B">
      <w:pPr>
        <w:spacing w:after="0"/>
        <w:rPr>
          <w:b/>
          <w:bCs/>
          <w:sz w:val="24"/>
          <w:lang w:val="uk-UA"/>
        </w:rPr>
      </w:pPr>
      <w:r w:rsidRPr="00475F0B">
        <w:rPr>
          <w:b/>
          <w:bCs/>
          <w:sz w:val="24"/>
          <w:lang w:val="uk-UA"/>
        </w:rPr>
        <w:t>Назва та автори</w:t>
      </w:r>
    </w:p>
    <w:p w14:paraId="3EB790E5" w14:textId="77777777" w:rsidR="00475F0B" w:rsidRDefault="00475F0B" w:rsidP="00475F0B">
      <w:pPr>
        <w:spacing w:after="0"/>
        <w:jc w:val="both"/>
        <w:rPr>
          <w:lang w:val="uk-UA"/>
        </w:rPr>
      </w:pPr>
      <w:r w:rsidRPr="00475F0B">
        <w:rPr>
          <w:lang w:val="uk-UA"/>
        </w:rPr>
        <w:t>Назва не повинна перевищувати 12 слів, подається українською та англійською, великими літерами, напівжирним шрифтом та вирівнюється по центру.</w:t>
      </w:r>
    </w:p>
    <w:p w14:paraId="7713D49C" w14:textId="04C618F1" w:rsidR="00475F0B" w:rsidRPr="00475F0B" w:rsidRDefault="00475F0B" w:rsidP="00475F0B">
      <w:pPr>
        <w:spacing w:after="0"/>
        <w:jc w:val="both"/>
        <w:rPr>
          <w:lang w:val="uk-UA"/>
        </w:rPr>
      </w:pPr>
      <w:r w:rsidRPr="00475F0B">
        <w:rPr>
          <w:lang w:val="uk-UA"/>
        </w:rPr>
        <w:t>Дані про авторів (українською та англійською) включають повне ім’я, науковий ступінь і посаду, підрозділ і повну назву установи, адресу та ORCID.</w:t>
      </w:r>
    </w:p>
    <w:p w14:paraId="400EE3AA" w14:textId="77777777" w:rsidR="00475F0B" w:rsidRDefault="00475F0B" w:rsidP="00475F0B">
      <w:pPr>
        <w:spacing w:after="0"/>
        <w:rPr>
          <w:b/>
          <w:bCs/>
          <w:lang w:val="uk-UA"/>
        </w:rPr>
      </w:pPr>
    </w:p>
    <w:p w14:paraId="4ED05D02" w14:textId="6A3CF84F" w:rsidR="00475F0B" w:rsidRPr="00475F0B" w:rsidRDefault="00475F0B" w:rsidP="00475F0B">
      <w:pPr>
        <w:spacing w:after="0"/>
        <w:rPr>
          <w:b/>
          <w:bCs/>
          <w:sz w:val="24"/>
          <w:lang w:val="uk-UA"/>
        </w:rPr>
      </w:pPr>
      <w:r w:rsidRPr="00475F0B">
        <w:rPr>
          <w:b/>
          <w:bCs/>
          <w:sz w:val="24"/>
          <w:lang w:val="uk-UA"/>
        </w:rPr>
        <w:t>Анотація та ключові слова</w:t>
      </w:r>
    </w:p>
    <w:p w14:paraId="2A8CE4C7" w14:textId="519A65A9" w:rsidR="00475F0B" w:rsidRPr="00475F0B" w:rsidRDefault="00475F0B" w:rsidP="00475F0B">
      <w:pPr>
        <w:spacing w:after="0"/>
        <w:jc w:val="both"/>
        <w:rPr>
          <w:lang w:val="uk-UA"/>
        </w:rPr>
      </w:pPr>
      <w:r w:rsidRPr="00475F0B">
        <w:rPr>
          <w:lang w:val="uk-UA"/>
        </w:rPr>
        <w:t>Анотацію пишуть двома мовами (англ</w:t>
      </w:r>
      <w:r>
        <w:rPr>
          <w:lang w:val="uk-UA"/>
        </w:rPr>
        <w:t>ійською та українською), на 200-</w:t>
      </w:r>
      <w:r w:rsidRPr="00475F0B">
        <w:rPr>
          <w:lang w:val="uk-UA"/>
        </w:rPr>
        <w:t>300 слів, інформативно та структуровано: актуальність, мета, методи, основні результати, практичне значення; без абревіатур чи посилань. Ключові слова (5–7) не повинні повторювати назву статті.</w:t>
      </w:r>
    </w:p>
    <w:p w14:paraId="359F1A99" w14:textId="77777777" w:rsidR="00475F0B" w:rsidRDefault="00475F0B" w:rsidP="00475F0B">
      <w:pPr>
        <w:spacing w:after="0"/>
        <w:rPr>
          <w:b/>
          <w:bCs/>
          <w:lang w:val="uk-UA"/>
        </w:rPr>
      </w:pPr>
    </w:p>
    <w:p w14:paraId="7A3171F8" w14:textId="0E3580E9" w:rsidR="00475F0B" w:rsidRPr="00E12454" w:rsidRDefault="00475F0B" w:rsidP="00475F0B">
      <w:pPr>
        <w:spacing w:after="0"/>
        <w:rPr>
          <w:b/>
          <w:bCs/>
          <w:sz w:val="24"/>
          <w:lang w:val="uk-UA"/>
        </w:rPr>
      </w:pPr>
      <w:r w:rsidRPr="00E12454">
        <w:rPr>
          <w:b/>
          <w:bCs/>
          <w:sz w:val="24"/>
          <w:lang w:val="uk-UA"/>
        </w:rPr>
        <w:t>Основні розділи</w:t>
      </w:r>
    </w:p>
    <w:p w14:paraId="55EE2277" w14:textId="2B3AEA26" w:rsidR="00475F0B" w:rsidRPr="00475F0B" w:rsidRDefault="00475F0B" w:rsidP="00E12454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Вступ</w:t>
      </w:r>
      <w:r w:rsidRPr="00475F0B">
        <w:rPr>
          <w:lang w:val="uk-UA"/>
        </w:rPr>
        <w:t>: описує актуальність та сучасний стан проблеми, аналізує 7–10 досліджень за останні 3–5 років, формулює мету, завдання та новизну роботи.</w:t>
      </w:r>
    </w:p>
    <w:p w14:paraId="2BAD144F" w14:textId="61F85D07" w:rsidR="00475F0B" w:rsidRPr="00475F0B" w:rsidRDefault="00475F0B" w:rsidP="00E12454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Матеріали та методи</w:t>
      </w:r>
      <w:r w:rsidRPr="00475F0B">
        <w:rPr>
          <w:lang w:val="uk-UA"/>
        </w:rPr>
        <w:t>: обґрунтовує вибір методів і описує етапи дослідження для можливості його повторення; обов’язковий для емпіричних та теоретичних статей.</w:t>
      </w:r>
    </w:p>
    <w:p w14:paraId="29F0F5D0" w14:textId="1015C617" w:rsidR="00475F0B" w:rsidRPr="00475F0B" w:rsidRDefault="00475F0B" w:rsidP="00E12454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Результати та обговорення</w:t>
      </w:r>
      <w:r w:rsidRPr="00475F0B">
        <w:rPr>
          <w:lang w:val="uk-UA"/>
        </w:rPr>
        <w:t>: представляє основні дані й аналіз; таблиці й рисунки супроводжуються статистичним аналізом та примітками; уникають повторів та зайвого опису; у розділі «Обговорення» результати зіставляють з іншими дослідженнями.</w:t>
      </w:r>
    </w:p>
    <w:p w14:paraId="1C13019C" w14:textId="3FEA379E" w:rsidR="00475F0B" w:rsidRPr="00475F0B" w:rsidRDefault="00475F0B" w:rsidP="00E12454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Висновки</w:t>
      </w:r>
      <w:r w:rsidRPr="00475F0B">
        <w:rPr>
          <w:lang w:val="uk-UA"/>
        </w:rPr>
        <w:t>: стисло та конкретно підсумовують результати, відповідають меті та назві роботи, зазначають напрямки подальших досліджень.</w:t>
      </w:r>
    </w:p>
    <w:p w14:paraId="2031775E" w14:textId="17647A26" w:rsidR="00475F0B" w:rsidRPr="00475F0B" w:rsidRDefault="00475F0B" w:rsidP="00E12454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Подяки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Фінансування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Конфлікт інтересів</w:t>
      </w:r>
      <w:r w:rsidRPr="00475F0B">
        <w:rPr>
          <w:lang w:val="uk-UA"/>
        </w:rPr>
        <w:t>: зазначають осіб або установи, які допомогли або фінансували дослідження; за відсутності зазначають «Немає»; обов’язково розкривають будь</w:t>
      </w:r>
      <w:r w:rsidRPr="00475F0B">
        <w:rPr>
          <w:lang w:val="uk-UA"/>
        </w:rPr>
        <w:noBreakHyphen/>
        <w:t>які потенційні конфлікти.</w:t>
      </w:r>
    </w:p>
    <w:p w14:paraId="42CBEFB1" w14:textId="77777777" w:rsidR="00E12454" w:rsidRDefault="00E12454" w:rsidP="00475F0B">
      <w:pPr>
        <w:spacing w:after="0"/>
        <w:rPr>
          <w:b/>
          <w:bCs/>
          <w:lang w:val="uk-UA"/>
        </w:rPr>
      </w:pPr>
    </w:p>
    <w:p w14:paraId="24BD25BF" w14:textId="2E5D0D17" w:rsidR="00475F0B" w:rsidRPr="00E12454" w:rsidRDefault="00475F0B" w:rsidP="00475F0B">
      <w:pPr>
        <w:spacing w:after="0"/>
        <w:rPr>
          <w:b/>
          <w:bCs/>
          <w:sz w:val="24"/>
          <w:lang w:val="uk-UA"/>
        </w:rPr>
      </w:pPr>
      <w:r w:rsidRPr="00E12454">
        <w:rPr>
          <w:b/>
          <w:bCs/>
          <w:sz w:val="24"/>
          <w:lang w:val="uk-UA"/>
        </w:rPr>
        <w:t>Оформлення та форматування</w:t>
      </w:r>
    </w:p>
    <w:p w14:paraId="075DC6A3" w14:textId="77777777" w:rsidR="00475F0B" w:rsidRPr="00475F0B" w:rsidRDefault="00475F0B" w:rsidP="00E12454">
      <w:pPr>
        <w:numPr>
          <w:ilvl w:val="0"/>
          <w:numId w:val="2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Мова</w:t>
      </w:r>
      <w:r w:rsidRPr="00475F0B">
        <w:rPr>
          <w:lang w:val="uk-UA"/>
        </w:rPr>
        <w:t>: статті подаються англійською; українська використовується для назви та анотації.</w:t>
      </w:r>
    </w:p>
    <w:p w14:paraId="339A222C" w14:textId="24B725F4" w:rsidR="00475F0B" w:rsidRPr="00475F0B" w:rsidRDefault="00475F0B" w:rsidP="00E12454">
      <w:pPr>
        <w:numPr>
          <w:ilvl w:val="0"/>
          <w:numId w:val="2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Формат</w:t>
      </w:r>
      <w:r w:rsidRPr="00475F0B">
        <w:rPr>
          <w:lang w:val="uk-UA"/>
        </w:rPr>
        <w:t xml:space="preserve">: файл MS Word (DOC/DOCX); сторінка А4 з полями по 2 см; шрифт </w:t>
      </w:r>
      <w:r w:rsidRPr="00475F0B">
        <w:rPr>
          <w:i/>
          <w:iCs/>
          <w:lang w:val="uk-UA"/>
        </w:rPr>
        <w:t>Times New Roman</w:t>
      </w:r>
      <w:r w:rsidRPr="00475F0B">
        <w:rPr>
          <w:lang w:val="uk-UA"/>
        </w:rPr>
        <w:t>, 12 pt, міжрядковий інтервал 1,0; вирівнювання по ширині; мінімум 4 000 слів, не враховуючи анотації та список джерел.</w:t>
      </w:r>
    </w:p>
    <w:p w14:paraId="3B1DCC59" w14:textId="2137D483" w:rsidR="00475F0B" w:rsidRPr="00475F0B" w:rsidRDefault="00475F0B" w:rsidP="00E12454">
      <w:pPr>
        <w:numPr>
          <w:ilvl w:val="0"/>
          <w:numId w:val="2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Таблиці, рисунки, графіки</w:t>
      </w:r>
      <w:r w:rsidRPr="00475F0B">
        <w:rPr>
          <w:lang w:val="uk-UA"/>
        </w:rPr>
        <w:t>: нумерують у порядку появи; розміщують після першого посилання на них; підпис розташовують під зображенням, а джерело та примітки — нижче; зображення мають бути якісними, табличні дані набирають шрифтом 10 pt.</w:t>
      </w:r>
    </w:p>
    <w:p w14:paraId="01354E6C" w14:textId="75E07B61" w:rsidR="00475F0B" w:rsidRPr="00475F0B" w:rsidRDefault="00475F0B" w:rsidP="00E12454">
      <w:pPr>
        <w:numPr>
          <w:ilvl w:val="0"/>
          <w:numId w:val="2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Формули</w:t>
      </w:r>
      <w:r w:rsidRPr="00475F0B">
        <w:rPr>
          <w:lang w:val="uk-UA"/>
        </w:rPr>
        <w:t>: створюються у Equation Editor; змінні курсивом; формули центровані та пронумеровані праворуч.</w:t>
      </w:r>
    </w:p>
    <w:p w14:paraId="3EB42B94" w14:textId="77777777" w:rsidR="00E12454" w:rsidRDefault="00E12454" w:rsidP="00475F0B">
      <w:pPr>
        <w:spacing w:after="0"/>
        <w:rPr>
          <w:b/>
          <w:bCs/>
          <w:lang w:val="uk-UA"/>
        </w:rPr>
      </w:pPr>
    </w:p>
    <w:p w14:paraId="750E41C6" w14:textId="04AEBDCE" w:rsidR="00475F0B" w:rsidRPr="00E12454" w:rsidRDefault="00475F0B" w:rsidP="00475F0B">
      <w:pPr>
        <w:spacing w:after="0"/>
        <w:rPr>
          <w:b/>
          <w:bCs/>
          <w:sz w:val="24"/>
          <w:lang w:val="uk-UA"/>
        </w:rPr>
      </w:pPr>
      <w:r w:rsidRPr="00E12454">
        <w:rPr>
          <w:b/>
          <w:bCs/>
          <w:sz w:val="24"/>
          <w:lang w:val="uk-UA"/>
        </w:rPr>
        <w:t>Посилання та список літератури</w:t>
      </w:r>
    </w:p>
    <w:p w14:paraId="3EFE4024" w14:textId="08C94145" w:rsidR="00475F0B" w:rsidRPr="00475F0B" w:rsidRDefault="00475F0B" w:rsidP="00E12454">
      <w:pPr>
        <w:spacing w:after="0"/>
        <w:jc w:val="both"/>
        <w:rPr>
          <w:lang w:val="uk-UA"/>
        </w:rPr>
      </w:pPr>
      <w:r w:rsidRPr="00475F0B">
        <w:rPr>
          <w:lang w:val="uk-UA"/>
        </w:rPr>
        <w:lastRenderedPageBreak/>
        <w:t>Посилання в тексті подають у круглих дужках із прізвищем автора та роком: (Vallo, 2024); у списку літератури джерела розміщують за алфавітом і оформлюють за стилем APA 6th; транслітерація неприпустима.</w:t>
      </w:r>
      <w:r w:rsidRPr="00475F0B">
        <w:rPr>
          <w:lang w:val="uk-UA"/>
        </w:rPr>
        <w:br/>
        <w:t>Рекомендується щонайменше 20 джерел для емпіричних і теоретичних статей та 40 – для оглядових; щонайменше половина повинна бути опублікована за останні три роки, і приблизно 30 % мають індексуватися у Scopus або Web of Science.</w:t>
      </w:r>
    </w:p>
    <w:p w14:paraId="5927CAF0" w14:textId="2BD9A9B7" w:rsidR="004370E2" w:rsidRDefault="004370E2" w:rsidP="00475F0B">
      <w:pPr>
        <w:spacing w:after="0"/>
        <w:rPr>
          <w:lang w:val="uk-UA"/>
        </w:rPr>
      </w:pPr>
    </w:p>
    <w:p w14:paraId="5850AD6B" w14:textId="4CFE9E8A" w:rsidR="00E12454" w:rsidRDefault="00E12454" w:rsidP="00475F0B">
      <w:pPr>
        <w:spacing w:after="0"/>
        <w:rPr>
          <w:b/>
          <w:lang w:val="uk-UA"/>
        </w:rPr>
      </w:pPr>
      <w:r w:rsidRPr="00E12454">
        <w:rPr>
          <w:b/>
          <w:lang w:val="uk-UA"/>
        </w:rPr>
        <w:t>Приклад оформлення списку літератури</w:t>
      </w:r>
    </w:p>
    <w:p w14:paraId="70BBEE4B" w14:textId="5C7B1FC6" w:rsidR="00E12454" w:rsidRDefault="00E12454" w:rsidP="00475F0B">
      <w:pPr>
        <w:spacing w:after="0"/>
        <w:rPr>
          <w:b/>
          <w:lang w:val="uk-UA"/>
        </w:rPr>
      </w:pPr>
    </w:p>
    <w:p w14:paraId="7A7EC7DE" w14:textId="087CB2AD" w:rsidR="00E12454" w:rsidRDefault="00E12454" w:rsidP="00475F0B">
      <w:pPr>
        <w:spacing w:after="0"/>
        <w:rPr>
          <w:b/>
          <w:lang w:val="uk-UA"/>
        </w:rPr>
      </w:pPr>
      <w:r>
        <w:rPr>
          <w:b/>
          <w:lang w:val="uk-UA"/>
        </w:rPr>
        <w:t>Книги:</w:t>
      </w:r>
    </w:p>
    <w:p w14:paraId="7860177D" w14:textId="77777777" w:rsidR="00F617CF" w:rsidRPr="00AD233F" w:rsidRDefault="00F617CF" w:rsidP="00F617CF">
      <w:pPr>
        <w:pStyle w:val="a6"/>
        <w:numPr>
          <w:ilvl w:val="0"/>
          <w:numId w:val="4"/>
        </w:numPr>
        <w:spacing w:after="80"/>
        <w:contextualSpacing w:val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b/>
          <w:bCs/>
          <w:sz w:val="24"/>
          <w:szCs w:val="24"/>
        </w:rPr>
      </w:pPr>
      <w:r w:rsidRPr="008F65C6">
        <w:rPr>
          <w:rFonts w:cs="Times New Roman"/>
          <w:sz w:val="24"/>
          <w:szCs w:val="24"/>
        </w:rPr>
        <w:t xml:space="preserve">Lightfoot, D. (1999). </w:t>
      </w:r>
      <w:r w:rsidRPr="008F65C6">
        <w:rPr>
          <w:rFonts w:cs="Times New Roman"/>
          <w:i/>
          <w:iCs/>
          <w:sz w:val="24"/>
          <w:szCs w:val="24"/>
        </w:rPr>
        <w:t>The development of language. Acquisition, change and evolution</w:t>
      </w:r>
      <w:r w:rsidRPr="008F65C6">
        <w:rPr>
          <w:rFonts w:cs="Times New Roman"/>
          <w:sz w:val="24"/>
          <w:szCs w:val="24"/>
        </w:rPr>
        <w:t>. Oxford: Blackwell Publishers.</w:t>
      </w:r>
      <w:r>
        <w:rPr>
          <w:rFonts w:cs="Times New Roman"/>
          <w:sz w:val="24"/>
          <w:szCs w:val="24"/>
        </w:rPr>
        <w:t xml:space="preserve"> </w:t>
      </w:r>
    </w:p>
    <w:p w14:paraId="25924AFA" w14:textId="77777777" w:rsidR="00F617CF" w:rsidRPr="00F617CF" w:rsidRDefault="00F617CF" w:rsidP="00F617CF">
      <w:pPr>
        <w:pStyle w:val="a6"/>
        <w:numPr>
          <w:ilvl w:val="0"/>
          <w:numId w:val="4"/>
        </w:numPr>
        <w:spacing w:after="0"/>
        <w:contextualSpacing w:val="0"/>
        <w:jc w:val="both"/>
        <w:rPr>
          <w:rFonts w:cs="Times New Roman"/>
          <w:sz w:val="24"/>
          <w:szCs w:val="24"/>
        </w:rPr>
      </w:pPr>
      <w:r w:rsidRPr="007448C6">
        <w:rPr>
          <w:rFonts w:cs="Times New Roman"/>
          <w:sz w:val="24"/>
          <w:szCs w:val="24"/>
          <w:lang w:val="uk-UA"/>
        </w:rPr>
        <w:t xml:space="preserve">Baker, P.A. (2006). </w:t>
      </w:r>
      <w:r w:rsidRPr="007448C6">
        <w:rPr>
          <w:rFonts w:cs="Times New Roman"/>
          <w:i/>
          <w:iCs/>
          <w:sz w:val="24"/>
          <w:szCs w:val="24"/>
          <w:lang w:val="uk-UA"/>
        </w:rPr>
        <w:t>Glossary of corpus linguistics</w:t>
      </w:r>
      <w:r w:rsidRPr="007448C6">
        <w:rPr>
          <w:rFonts w:cs="Times New Roman"/>
          <w:sz w:val="24"/>
          <w:szCs w:val="24"/>
          <w:lang w:val="uk-UA"/>
        </w:rPr>
        <w:t>. Edinburgh: Edinburgn University Press.</w:t>
      </w:r>
    </w:p>
    <w:p w14:paraId="1E2D03B6" w14:textId="3FF41850" w:rsidR="00F617CF" w:rsidRDefault="00F617CF" w:rsidP="00F617CF">
      <w:pPr>
        <w:pStyle w:val="a6"/>
        <w:numPr>
          <w:ilvl w:val="0"/>
          <w:numId w:val="4"/>
        </w:numPr>
        <w:spacing w:after="80"/>
        <w:contextualSpacing w:val="0"/>
        <w:jc w:val="both"/>
        <w:rPr>
          <w:rFonts w:cs="Times New Roman"/>
          <w:sz w:val="24"/>
          <w:szCs w:val="24"/>
        </w:rPr>
      </w:pPr>
      <w:r w:rsidRPr="007448C6">
        <w:rPr>
          <w:rFonts w:cs="Times New Roman"/>
          <w:sz w:val="24"/>
          <w:szCs w:val="24"/>
          <w:lang w:val="uk-UA"/>
        </w:rPr>
        <w:t xml:space="preserve">Cuyckens, H., &amp; Geeraerts, D. (2018). </w:t>
      </w:r>
      <w:r w:rsidRPr="007448C6">
        <w:rPr>
          <w:rFonts w:cs="Times New Roman"/>
          <w:i/>
          <w:iCs/>
          <w:sz w:val="24"/>
          <w:szCs w:val="24"/>
          <w:lang w:val="uk-UA"/>
        </w:rPr>
        <w:t>Introducing cognitive linguistics</w:t>
      </w:r>
      <w:r w:rsidRPr="007448C6">
        <w:rPr>
          <w:rFonts w:cs="Times New Roman"/>
          <w:sz w:val="24"/>
          <w:szCs w:val="24"/>
          <w:lang w:val="uk-UA"/>
        </w:rPr>
        <w:t>. Berlin: Geeraerts</w:t>
      </w:r>
      <w:r w:rsidRPr="00AD233F">
        <w:rPr>
          <w:rFonts w:cs="Times New Roman"/>
          <w:sz w:val="24"/>
          <w:szCs w:val="24"/>
        </w:rPr>
        <w:t>.</w:t>
      </w:r>
    </w:p>
    <w:p w14:paraId="12557B93" w14:textId="52F9A9DF" w:rsidR="00F617CF" w:rsidRPr="00F617CF" w:rsidRDefault="00F617CF" w:rsidP="00F617CF">
      <w:pPr>
        <w:pStyle w:val="a6"/>
        <w:numPr>
          <w:ilvl w:val="0"/>
          <w:numId w:val="4"/>
        </w:numPr>
        <w:spacing w:after="80"/>
        <w:contextualSpacing w:val="0"/>
        <w:jc w:val="both"/>
        <w:rPr>
          <w:rFonts w:cs="Times New Roman"/>
          <w:sz w:val="24"/>
          <w:szCs w:val="24"/>
        </w:rPr>
      </w:pPr>
      <w:r w:rsidRPr="00287885">
        <w:rPr>
          <w:rFonts w:cs="Times New Roman"/>
          <w:spacing w:val="-2"/>
          <w:sz w:val="24"/>
          <w:szCs w:val="24"/>
          <w:lang w:val="es-ES"/>
        </w:rPr>
        <w:t xml:space="preserve">Kharchenko, S., Navalnaya, M., Kostritsa, N., Balalaeva, O., &amp; Fomina, G. (2021). </w:t>
      </w:r>
      <w:r w:rsidRPr="008F65C6">
        <w:rPr>
          <w:rFonts w:cs="Times New Roman"/>
          <w:i/>
          <w:iCs/>
          <w:spacing w:val="-2"/>
          <w:sz w:val="24"/>
          <w:szCs w:val="24"/>
        </w:rPr>
        <w:t>Information support for lifelong learning in the context of sustainable development</w:t>
      </w:r>
      <w:r w:rsidRPr="008F65C6">
        <w:rPr>
          <w:rFonts w:cs="Times New Roman"/>
          <w:spacing w:val="-2"/>
          <w:sz w:val="24"/>
          <w:szCs w:val="24"/>
        </w:rPr>
        <w:t>. Kyiv: Millennium.</w:t>
      </w:r>
    </w:p>
    <w:p w14:paraId="1562C091" w14:textId="77777777" w:rsidR="00F617CF" w:rsidRPr="00AD233F" w:rsidRDefault="00F617CF" w:rsidP="00F617CF">
      <w:pPr>
        <w:pStyle w:val="a6"/>
        <w:numPr>
          <w:ilvl w:val="0"/>
          <w:numId w:val="4"/>
        </w:numPr>
        <w:tabs>
          <w:tab w:val="left" w:pos="1590"/>
        </w:tabs>
        <w:spacing w:after="80"/>
        <w:contextualSpacing w:val="0"/>
        <w:jc w:val="both"/>
        <w:rPr>
          <w:rFonts w:cs="Times New Roman"/>
          <w:sz w:val="24"/>
          <w:szCs w:val="24"/>
        </w:rPr>
      </w:pPr>
      <w:r w:rsidRPr="008F65C6">
        <w:rPr>
          <w:rFonts w:cs="Times New Roman"/>
          <w:sz w:val="24"/>
          <w:szCs w:val="24"/>
        </w:rPr>
        <w:t xml:space="preserve">Smith, J., &amp; Brown, A. (Eds.). (2010). </w:t>
      </w:r>
      <w:r w:rsidRPr="008F65C6">
        <w:rPr>
          <w:rFonts w:cs="Times New Roman"/>
          <w:i/>
          <w:iCs/>
          <w:sz w:val="24"/>
          <w:szCs w:val="24"/>
        </w:rPr>
        <w:t>Advances in linguistic theory: A comprehensive overview</w:t>
      </w:r>
      <w:r w:rsidRPr="008F65C6">
        <w:rPr>
          <w:rFonts w:cs="Times New Roman"/>
          <w:sz w:val="24"/>
          <w:szCs w:val="24"/>
        </w:rPr>
        <w:t>. Oxford</w:t>
      </w:r>
      <w:r>
        <w:rPr>
          <w:rFonts w:cs="Times New Roman"/>
          <w:sz w:val="24"/>
          <w:szCs w:val="24"/>
        </w:rPr>
        <w:t xml:space="preserve">: </w:t>
      </w:r>
      <w:r w:rsidRPr="008F65C6">
        <w:rPr>
          <w:rFonts w:cs="Times New Roman"/>
          <w:sz w:val="24"/>
          <w:szCs w:val="24"/>
        </w:rPr>
        <w:t>Oxford University Press.</w:t>
      </w:r>
      <w:r>
        <w:rPr>
          <w:rFonts w:cs="Times New Roman"/>
          <w:sz w:val="24"/>
          <w:szCs w:val="24"/>
        </w:rPr>
        <w:t xml:space="preserve"> </w:t>
      </w:r>
    </w:p>
    <w:p w14:paraId="5BD825EB" w14:textId="77777777" w:rsidR="00F617CF" w:rsidRPr="00AD233F" w:rsidRDefault="00F617CF" w:rsidP="00F617CF">
      <w:pPr>
        <w:pStyle w:val="a6"/>
        <w:numPr>
          <w:ilvl w:val="0"/>
          <w:numId w:val="4"/>
        </w:numPr>
        <w:spacing w:after="80"/>
        <w:contextualSpacing w:val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sz w:val="24"/>
          <w:szCs w:val="24"/>
        </w:rPr>
      </w:pPr>
      <w:r w:rsidRPr="001F6E09">
        <w:rPr>
          <w:rFonts w:cs="Times New Roman"/>
          <w:sz w:val="24"/>
          <w:szCs w:val="24"/>
          <w:lang w:val="uk-UA"/>
        </w:rPr>
        <w:t xml:space="preserve">Brown, R., &amp; Miller, S. (Eds.). (2008). </w:t>
      </w:r>
      <w:r w:rsidRPr="001F6E09">
        <w:rPr>
          <w:rFonts w:cs="Times New Roman"/>
          <w:i/>
          <w:iCs/>
          <w:sz w:val="24"/>
          <w:szCs w:val="24"/>
          <w:lang w:val="uk-UA"/>
        </w:rPr>
        <w:t>Comprehensive handbook of applied linguistics</w:t>
      </w:r>
      <w:r w:rsidRPr="001F6E09">
        <w:rPr>
          <w:rFonts w:cs="Times New Roman"/>
          <w:sz w:val="24"/>
          <w:szCs w:val="24"/>
          <w:lang w:val="uk-UA"/>
        </w:rPr>
        <w:t xml:space="preserve"> (Vol</w:t>
      </w:r>
      <w:r>
        <w:rPr>
          <w:rFonts w:cs="Times New Roman"/>
          <w:sz w:val="24"/>
          <w:szCs w:val="24"/>
          <w:lang w:val="uk-UA"/>
        </w:rPr>
        <w:t xml:space="preserve">. </w:t>
      </w:r>
      <w:r w:rsidRPr="001F6E09">
        <w:rPr>
          <w:rFonts w:cs="Times New Roman"/>
          <w:sz w:val="24"/>
          <w:szCs w:val="24"/>
          <w:lang w:val="uk-UA"/>
        </w:rPr>
        <w:t>3).</w:t>
      </w:r>
      <w:r>
        <w:rPr>
          <w:rFonts w:cs="Times New Roman"/>
          <w:sz w:val="24"/>
          <w:szCs w:val="24"/>
          <w:lang w:val="uk-UA"/>
        </w:rPr>
        <w:t xml:space="preserve"> </w:t>
      </w:r>
      <w:r w:rsidRPr="001F6E09">
        <w:rPr>
          <w:rFonts w:cs="Times New Roman"/>
          <w:sz w:val="24"/>
          <w:szCs w:val="24"/>
          <w:lang w:val="uk-UA"/>
        </w:rPr>
        <w:t>Los Angeles</w:t>
      </w:r>
      <w:r>
        <w:rPr>
          <w:rFonts w:cs="Times New Roman"/>
          <w:sz w:val="24"/>
          <w:szCs w:val="24"/>
          <w:lang w:val="uk-UA"/>
        </w:rPr>
        <w:t xml:space="preserve">: </w:t>
      </w:r>
      <w:r w:rsidRPr="001F6E09">
        <w:rPr>
          <w:rFonts w:cs="Times New Roman"/>
          <w:sz w:val="24"/>
          <w:szCs w:val="24"/>
          <w:lang w:val="uk-UA"/>
        </w:rPr>
        <w:t>Sage Publications.</w:t>
      </w:r>
      <w:r>
        <w:rPr>
          <w:rFonts w:cs="Times New Roman"/>
          <w:sz w:val="24"/>
          <w:szCs w:val="24"/>
          <w:lang w:val="uk-UA"/>
        </w:rPr>
        <w:t xml:space="preserve"> </w:t>
      </w:r>
    </w:p>
    <w:p w14:paraId="4EF6BCF5" w14:textId="0E33A1AF" w:rsidR="00F617CF" w:rsidRPr="00AD233F" w:rsidRDefault="00F617CF" w:rsidP="00F617CF">
      <w:pPr>
        <w:pStyle w:val="a6"/>
        <w:numPr>
          <w:ilvl w:val="0"/>
          <w:numId w:val="4"/>
        </w:numPr>
        <w:spacing w:after="80"/>
        <w:contextualSpacing w:val="0"/>
        <w:jc w:val="both"/>
        <w:rPr>
          <w:rFonts w:cs="Times New Roman"/>
          <w:sz w:val="24"/>
          <w:szCs w:val="24"/>
        </w:rPr>
      </w:pPr>
      <w:r w:rsidRPr="001F6E09">
        <w:rPr>
          <w:rFonts w:cs="Times New Roman"/>
          <w:sz w:val="24"/>
          <w:szCs w:val="24"/>
          <w:lang w:val="uk-UA"/>
        </w:rPr>
        <w:t xml:space="preserve">Smith, J.A. (Ed.). (2010). </w:t>
      </w:r>
      <w:r w:rsidRPr="001F6E09">
        <w:rPr>
          <w:rFonts w:cs="Times New Roman"/>
          <w:i/>
          <w:iCs/>
          <w:sz w:val="24"/>
          <w:szCs w:val="24"/>
          <w:lang w:val="uk-UA"/>
        </w:rPr>
        <w:t xml:space="preserve">Encyclopedia of </w:t>
      </w:r>
      <w:r w:rsidRPr="001F6E09">
        <w:rPr>
          <w:rFonts w:cs="Times New Roman"/>
          <w:i/>
          <w:iCs/>
          <w:sz w:val="24"/>
          <w:szCs w:val="24"/>
        </w:rPr>
        <w:t>l</w:t>
      </w:r>
      <w:r w:rsidRPr="001F6E09">
        <w:rPr>
          <w:rFonts w:cs="Times New Roman"/>
          <w:i/>
          <w:iCs/>
          <w:sz w:val="24"/>
          <w:szCs w:val="24"/>
          <w:lang w:val="uk-UA"/>
        </w:rPr>
        <w:t>inguistics</w:t>
      </w:r>
      <w:r w:rsidRPr="001F6E09">
        <w:rPr>
          <w:rFonts w:cs="Times New Roman"/>
          <w:sz w:val="24"/>
          <w:szCs w:val="24"/>
          <w:lang w:val="uk-UA"/>
        </w:rPr>
        <w:t xml:space="preserve"> (Vol. 1). Oxford</w:t>
      </w:r>
      <w:r>
        <w:rPr>
          <w:rFonts w:cs="Times New Roman"/>
          <w:sz w:val="24"/>
          <w:szCs w:val="24"/>
          <w:lang w:val="uk-UA"/>
        </w:rPr>
        <w:t xml:space="preserve">: </w:t>
      </w:r>
      <w:r w:rsidRPr="001F6E09">
        <w:rPr>
          <w:rFonts w:cs="Times New Roman"/>
          <w:sz w:val="24"/>
          <w:szCs w:val="24"/>
          <w:lang w:val="uk-UA"/>
        </w:rPr>
        <w:t>Oxford University Press.</w:t>
      </w:r>
    </w:p>
    <w:p w14:paraId="409BC63B" w14:textId="1DFA86C4" w:rsidR="00583244" w:rsidRDefault="00583244" w:rsidP="00583244">
      <w:pPr>
        <w:pStyle w:val="a8"/>
        <w:spacing w:before="0" w:beforeAutospacing="0" w:after="0" w:afterAutospacing="0"/>
        <w:rPr>
          <w:b/>
          <w:lang w:val="uk-UA"/>
        </w:rPr>
      </w:pPr>
      <w:r w:rsidRPr="00583244">
        <w:rPr>
          <w:b/>
        </w:rPr>
        <w:t>Розділ книги</w:t>
      </w:r>
      <w:r w:rsidRPr="00583244">
        <w:rPr>
          <w:b/>
          <w:lang w:val="uk-UA"/>
        </w:rPr>
        <w:t>:</w:t>
      </w:r>
    </w:p>
    <w:p w14:paraId="4B5D4451" w14:textId="77777777" w:rsidR="00F617CF" w:rsidRPr="00AD233F" w:rsidRDefault="00F617CF" w:rsidP="00F617CF">
      <w:pPr>
        <w:pStyle w:val="a6"/>
        <w:numPr>
          <w:ilvl w:val="0"/>
          <w:numId w:val="16"/>
        </w:numPr>
        <w:spacing w:after="80"/>
        <w:contextualSpacing w:val="0"/>
        <w:jc w:val="both"/>
        <w:rPr>
          <w:rFonts w:cs="Times New Roman"/>
          <w:sz w:val="24"/>
          <w:szCs w:val="24"/>
        </w:rPr>
      </w:pPr>
      <w:r w:rsidRPr="001F6E09">
        <w:rPr>
          <w:rFonts w:cs="Times New Roman"/>
          <w:sz w:val="24"/>
          <w:szCs w:val="24"/>
          <w:lang w:val="uk-UA"/>
        </w:rPr>
        <w:t xml:space="preserve">Thompson, R. (2010). Language variation in sociolinguistics. In </w:t>
      </w:r>
      <w:r w:rsidRPr="001F6E09">
        <w:rPr>
          <w:rFonts w:cs="Times New Roman"/>
          <w:i/>
          <w:iCs/>
          <w:sz w:val="24"/>
          <w:szCs w:val="24"/>
          <w:lang w:val="uk-UA"/>
        </w:rPr>
        <w:t>The lesser-known varieties of English: An introduction</w:t>
      </w:r>
      <w:r w:rsidRPr="001F6E09">
        <w:rPr>
          <w:rFonts w:cs="Times New Roman"/>
          <w:sz w:val="24"/>
          <w:szCs w:val="24"/>
          <w:lang w:val="uk-UA"/>
        </w:rPr>
        <w:t xml:space="preserve"> (pp. 45-67). Cambridge</w:t>
      </w:r>
      <w:r>
        <w:rPr>
          <w:rFonts w:cs="Times New Roman"/>
          <w:sz w:val="24"/>
          <w:szCs w:val="24"/>
          <w:lang w:val="uk-UA"/>
        </w:rPr>
        <w:t xml:space="preserve">: </w:t>
      </w:r>
      <w:r w:rsidRPr="001F6E09">
        <w:rPr>
          <w:rFonts w:cs="Times New Roman"/>
          <w:sz w:val="24"/>
          <w:szCs w:val="24"/>
          <w:lang w:val="uk-UA"/>
        </w:rPr>
        <w:t>Cambridge University Press.</w:t>
      </w:r>
      <w:r>
        <w:rPr>
          <w:rFonts w:cs="Times New Roman"/>
          <w:sz w:val="24"/>
          <w:szCs w:val="24"/>
          <w:lang w:val="uk-UA"/>
        </w:rPr>
        <w:t xml:space="preserve"> </w:t>
      </w:r>
    </w:p>
    <w:p w14:paraId="0A3A697F" w14:textId="77777777" w:rsidR="00F617CF" w:rsidRPr="00F617CF" w:rsidRDefault="00F617CF" w:rsidP="00F617CF">
      <w:pPr>
        <w:pStyle w:val="a6"/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F617CF">
        <w:rPr>
          <w:rFonts w:cs="Times New Roman"/>
          <w:sz w:val="24"/>
          <w:szCs w:val="24"/>
          <w:lang w:val="uk-UA"/>
        </w:rPr>
        <w:t xml:space="preserve">Johnson, M. (2009). The role of phonetics in language acquisition. In </w:t>
      </w:r>
      <w:r w:rsidRPr="00F617CF">
        <w:rPr>
          <w:rFonts w:cs="Times New Roman"/>
          <w:i/>
          <w:iCs/>
          <w:sz w:val="24"/>
          <w:szCs w:val="24"/>
          <w:lang w:val="uk-UA"/>
        </w:rPr>
        <w:t>Studies in theoretical linguistics</w:t>
      </w:r>
      <w:r w:rsidRPr="00F617CF">
        <w:rPr>
          <w:rFonts w:cs="Times New Roman"/>
          <w:sz w:val="24"/>
          <w:szCs w:val="24"/>
          <w:lang w:val="uk-UA"/>
        </w:rPr>
        <w:t xml:space="preserve"> (pp. 123-145). Oxford: Oxford University Press. </w:t>
      </w:r>
    </w:p>
    <w:p w14:paraId="2483D4CD" w14:textId="6A13874C" w:rsidR="00583244" w:rsidRDefault="00583244" w:rsidP="00F617CF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83244">
        <w:rPr>
          <w:rFonts w:cs="Times New Roman"/>
          <w:b/>
          <w:sz w:val="24"/>
          <w:szCs w:val="24"/>
          <w:lang w:val="ru-RU"/>
        </w:rPr>
        <w:t>Матеріали конференції</w:t>
      </w:r>
      <w:r>
        <w:rPr>
          <w:rFonts w:cs="Times New Roman"/>
          <w:b/>
          <w:sz w:val="24"/>
          <w:szCs w:val="24"/>
          <w:lang w:val="uk-UA"/>
        </w:rPr>
        <w:t>:</w:t>
      </w:r>
      <w:r w:rsidRPr="00583244">
        <w:rPr>
          <w:rFonts w:cs="Times New Roman"/>
          <w:sz w:val="24"/>
          <w:szCs w:val="24"/>
          <w:lang w:val="ru-RU"/>
        </w:rPr>
        <w:t xml:space="preserve"> </w:t>
      </w:r>
    </w:p>
    <w:p w14:paraId="2EE7F03A" w14:textId="77777777" w:rsidR="00F617CF" w:rsidRPr="00AD233F" w:rsidRDefault="00F617CF" w:rsidP="00F617CF">
      <w:pPr>
        <w:pStyle w:val="a6"/>
        <w:numPr>
          <w:ilvl w:val="0"/>
          <w:numId w:val="18"/>
        </w:numPr>
        <w:spacing w:after="80"/>
        <w:contextualSpacing w:val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sz w:val="24"/>
          <w:szCs w:val="24"/>
        </w:rPr>
      </w:pPr>
      <w:r w:rsidRPr="001F6E09">
        <w:rPr>
          <w:rFonts w:cs="Times New Roman"/>
          <w:sz w:val="24"/>
          <w:szCs w:val="24"/>
          <w:lang w:val="uk-UA"/>
        </w:rPr>
        <w:t xml:space="preserve">Peterson, L. (2011). Phonological shifts in contemporary English dialects. In </w:t>
      </w:r>
      <w:r w:rsidRPr="001F6E09">
        <w:rPr>
          <w:rFonts w:cs="Times New Roman"/>
          <w:i/>
          <w:iCs/>
          <w:sz w:val="24"/>
          <w:szCs w:val="24"/>
          <w:lang w:val="uk-UA"/>
        </w:rPr>
        <w:t>Proceedings of the 15th international conference on linguistic theory</w:t>
      </w:r>
      <w:r w:rsidRPr="001F6E09">
        <w:rPr>
          <w:rFonts w:cs="Times New Roman"/>
          <w:sz w:val="24"/>
          <w:szCs w:val="24"/>
          <w:lang w:val="uk-UA"/>
        </w:rPr>
        <w:t xml:space="preserve"> (pp. 112-118). New York</w:t>
      </w:r>
      <w:r>
        <w:rPr>
          <w:rFonts w:cs="Times New Roman"/>
          <w:sz w:val="24"/>
          <w:szCs w:val="24"/>
        </w:rPr>
        <w:t xml:space="preserve">: </w:t>
      </w:r>
      <w:r w:rsidRPr="001F6E09">
        <w:rPr>
          <w:rFonts w:cs="Times New Roman"/>
          <w:sz w:val="24"/>
          <w:szCs w:val="24"/>
          <w:lang w:val="uk-UA"/>
        </w:rPr>
        <w:t>Linguistic Society of America.</w:t>
      </w:r>
      <w:r>
        <w:rPr>
          <w:rFonts w:cs="Times New Roman"/>
          <w:sz w:val="24"/>
          <w:szCs w:val="24"/>
          <w:lang w:val="uk-UA"/>
        </w:rPr>
        <w:t xml:space="preserve"> </w:t>
      </w:r>
    </w:p>
    <w:p w14:paraId="25742546" w14:textId="2162B3EF" w:rsidR="00583244" w:rsidRDefault="00583244" w:rsidP="00583244">
      <w:pPr>
        <w:spacing w:after="0"/>
        <w:jc w:val="both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Статті:</w:t>
      </w:r>
    </w:p>
    <w:p w14:paraId="629D932A" w14:textId="0BF4D4DB" w:rsidR="00583244" w:rsidRPr="00583244" w:rsidRDefault="00F617CF" w:rsidP="00583244">
      <w:pPr>
        <w:pStyle w:val="a6"/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8F65C6">
        <w:rPr>
          <w:rFonts w:cs="Times New Roman"/>
          <w:sz w:val="24"/>
          <w:szCs w:val="24"/>
        </w:rPr>
        <w:t>Kravchenko</w:t>
      </w:r>
      <w:r w:rsidRPr="00F617CF">
        <w:rPr>
          <w:rFonts w:cs="Times New Roman"/>
          <w:sz w:val="24"/>
          <w:szCs w:val="24"/>
          <w:lang w:val="uk-UA"/>
        </w:rPr>
        <w:t xml:space="preserve">, </w:t>
      </w:r>
      <w:r w:rsidRPr="008F65C6">
        <w:rPr>
          <w:rFonts w:cs="Times New Roman"/>
          <w:sz w:val="24"/>
          <w:szCs w:val="24"/>
        </w:rPr>
        <w:t>N</w:t>
      </w:r>
      <w:r w:rsidRPr="00F617CF">
        <w:rPr>
          <w:rFonts w:cs="Times New Roman"/>
          <w:sz w:val="24"/>
          <w:szCs w:val="24"/>
          <w:lang w:val="uk-UA"/>
        </w:rPr>
        <w:t xml:space="preserve">., </w:t>
      </w:r>
      <w:r w:rsidRPr="008F65C6">
        <w:rPr>
          <w:rFonts w:cs="Times New Roman"/>
          <w:sz w:val="24"/>
          <w:szCs w:val="24"/>
        </w:rPr>
        <w:t>Chaika</w:t>
      </w:r>
      <w:r w:rsidRPr="00F617CF">
        <w:rPr>
          <w:rFonts w:cs="Times New Roman"/>
          <w:sz w:val="24"/>
          <w:szCs w:val="24"/>
          <w:lang w:val="uk-UA"/>
        </w:rPr>
        <w:t xml:space="preserve">, </w:t>
      </w:r>
      <w:r w:rsidRPr="008F65C6">
        <w:rPr>
          <w:rFonts w:cs="Times New Roman"/>
          <w:sz w:val="24"/>
          <w:szCs w:val="24"/>
        </w:rPr>
        <w:t>O</w:t>
      </w:r>
      <w:r w:rsidRPr="00F617CF">
        <w:rPr>
          <w:rFonts w:cs="Times New Roman"/>
          <w:sz w:val="24"/>
          <w:szCs w:val="24"/>
          <w:lang w:val="uk-UA"/>
        </w:rPr>
        <w:t xml:space="preserve">., </w:t>
      </w:r>
      <w:r w:rsidRPr="008F65C6">
        <w:rPr>
          <w:rFonts w:cs="Times New Roman"/>
          <w:sz w:val="24"/>
          <w:szCs w:val="24"/>
        </w:rPr>
        <w:t>Blidchenko</w:t>
      </w:r>
      <w:r w:rsidRPr="00F617CF">
        <w:rPr>
          <w:rFonts w:cs="Times New Roman"/>
          <w:sz w:val="24"/>
          <w:szCs w:val="24"/>
          <w:lang w:val="uk-UA"/>
        </w:rPr>
        <w:t>-</w:t>
      </w:r>
      <w:r w:rsidRPr="008F65C6">
        <w:rPr>
          <w:rFonts w:cs="Times New Roman"/>
          <w:sz w:val="24"/>
          <w:szCs w:val="24"/>
        </w:rPr>
        <w:t>Naiko</w:t>
      </w:r>
      <w:r w:rsidRPr="00F617CF">
        <w:rPr>
          <w:rFonts w:cs="Times New Roman"/>
          <w:sz w:val="24"/>
          <w:szCs w:val="24"/>
          <w:lang w:val="uk-UA"/>
        </w:rPr>
        <w:t xml:space="preserve">, </w:t>
      </w:r>
      <w:r w:rsidRPr="008F65C6">
        <w:rPr>
          <w:rFonts w:cs="Times New Roman"/>
          <w:sz w:val="24"/>
          <w:szCs w:val="24"/>
        </w:rPr>
        <w:t>V</w:t>
      </w:r>
      <w:r w:rsidRPr="00F617CF">
        <w:rPr>
          <w:rFonts w:cs="Times New Roman"/>
          <w:sz w:val="24"/>
          <w:szCs w:val="24"/>
          <w:lang w:val="uk-UA"/>
        </w:rPr>
        <w:t xml:space="preserve">., &amp; </w:t>
      </w:r>
      <w:r w:rsidRPr="008F65C6">
        <w:rPr>
          <w:rFonts w:cs="Times New Roman"/>
          <w:sz w:val="24"/>
          <w:szCs w:val="24"/>
        </w:rPr>
        <w:t>Davydova</w:t>
      </w:r>
      <w:r w:rsidRPr="00F617CF">
        <w:rPr>
          <w:rFonts w:cs="Times New Roman"/>
          <w:sz w:val="24"/>
          <w:szCs w:val="24"/>
          <w:lang w:val="uk-UA"/>
        </w:rPr>
        <w:t xml:space="preserve">, </w:t>
      </w:r>
      <w:r w:rsidRPr="008F65C6">
        <w:rPr>
          <w:rFonts w:cs="Times New Roman"/>
          <w:sz w:val="24"/>
          <w:szCs w:val="24"/>
        </w:rPr>
        <w:t>T</w:t>
      </w:r>
      <w:r w:rsidRPr="00F617CF">
        <w:rPr>
          <w:rFonts w:cs="Times New Roman"/>
          <w:sz w:val="24"/>
          <w:szCs w:val="24"/>
          <w:lang w:val="uk-UA"/>
        </w:rPr>
        <w:t xml:space="preserve">. (2021). </w:t>
      </w:r>
      <w:r w:rsidRPr="008F65C6">
        <w:rPr>
          <w:rFonts w:cs="Times New Roman"/>
          <w:sz w:val="24"/>
          <w:szCs w:val="24"/>
        </w:rPr>
        <w:t xml:space="preserve">Polysemantic allusion: Definition, structure and semantics (based on Pratchett’s Discworld). </w:t>
      </w:r>
      <w:r w:rsidRPr="008F65C6">
        <w:rPr>
          <w:rFonts w:cs="Times New Roman"/>
          <w:i/>
          <w:iCs/>
          <w:sz w:val="24"/>
          <w:szCs w:val="24"/>
        </w:rPr>
        <w:t>Journal of Language and Linguistic Studies</w:t>
      </w:r>
      <w:r w:rsidRPr="008F65C6">
        <w:rPr>
          <w:rFonts w:cs="Times New Roman"/>
          <w:sz w:val="24"/>
          <w:szCs w:val="24"/>
        </w:rPr>
        <w:t>, 17(4), 1907-1919</w:t>
      </w:r>
      <w:r>
        <w:rPr>
          <w:rFonts w:cs="Times New Roman"/>
          <w:sz w:val="24"/>
          <w:szCs w:val="24"/>
          <w:lang w:val="uk-UA"/>
        </w:rPr>
        <w:t xml:space="preserve">. </w:t>
      </w:r>
      <w:r w:rsidR="00583244" w:rsidRPr="00583244">
        <w:rPr>
          <w:rFonts w:cs="Times New Roman"/>
          <w:sz w:val="24"/>
          <w:szCs w:val="24"/>
        </w:rPr>
        <w:t>doi: 10.3390/su11216087.</w:t>
      </w:r>
    </w:p>
    <w:p w14:paraId="189ECCD8" w14:textId="20C66DDC" w:rsidR="00583244" w:rsidRDefault="00583244" w:rsidP="00583244">
      <w:pPr>
        <w:pStyle w:val="a8"/>
        <w:spacing w:before="0" w:beforeAutospacing="0" w:after="0" w:afterAutospacing="0"/>
        <w:rPr>
          <w:b/>
          <w:lang w:val="uk-UA"/>
        </w:rPr>
      </w:pPr>
      <w:r w:rsidRPr="00583244">
        <w:rPr>
          <w:b/>
        </w:rPr>
        <w:t>Докторські та дисертаційні роботи</w:t>
      </w:r>
      <w:r>
        <w:rPr>
          <w:b/>
          <w:lang w:val="uk-UA"/>
        </w:rPr>
        <w:t>:</w:t>
      </w:r>
    </w:p>
    <w:p w14:paraId="735F72AF" w14:textId="77777777" w:rsidR="00F617CF" w:rsidRPr="00F617CF" w:rsidRDefault="00F617CF" w:rsidP="00F617CF">
      <w:pPr>
        <w:pStyle w:val="a6"/>
        <w:numPr>
          <w:ilvl w:val="0"/>
          <w:numId w:val="7"/>
        </w:numPr>
        <w:spacing w:after="80"/>
        <w:contextualSpacing w:val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sz w:val="24"/>
          <w:szCs w:val="24"/>
        </w:rPr>
      </w:pPr>
      <w:r w:rsidRPr="00B249E8">
        <w:rPr>
          <w:rFonts w:cs="Times New Roman"/>
          <w:sz w:val="24"/>
          <w:szCs w:val="24"/>
          <w:lang w:val="uk-UA"/>
        </w:rPr>
        <w:t xml:space="preserve">Shevchenko, O.V. (2017). </w:t>
      </w:r>
      <w:r w:rsidRPr="00B249E8">
        <w:rPr>
          <w:rFonts w:cs="Times New Roman"/>
          <w:i/>
          <w:iCs/>
          <w:sz w:val="24"/>
          <w:szCs w:val="24"/>
          <w:lang w:val="uk-UA"/>
        </w:rPr>
        <w:t>Morphological variability in Ukrainian dialects: A comparative analysis</w:t>
      </w:r>
      <w:r>
        <w:rPr>
          <w:rFonts w:cs="Times New Roman"/>
          <w:sz w:val="24"/>
          <w:szCs w:val="24"/>
        </w:rPr>
        <w:t xml:space="preserve">. </w:t>
      </w:r>
      <w:r w:rsidRPr="00B249E8">
        <w:rPr>
          <w:rFonts w:cs="Times New Roman"/>
          <w:sz w:val="24"/>
          <w:szCs w:val="24"/>
          <w:lang w:val="uk-UA"/>
        </w:rPr>
        <w:t xml:space="preserve">(Doctoral </w:t>
      </w:r>
      <w:r>
        <w:rPr>
          <w:rFonts w:cs="Times New Roman"/>
          <w:sz w:val="24"/>
          <w:szCs w:val="24"/>
        </w:rPr>
        <w:t xml:space="preserve">thesis, </w:t>
      </w:r>
      <w:r w:rsidRPr="00B249E8">
        <w:rPr>
          <w:rFonts w:cs="Times New Roman"/>
          <w:sz w:val="24"/>
          <w:szCs w:val="24"/>
          <w:lang w:val="uk-UA"/>
        </w:rPr>
        <w:t>Taras Shevchenko National University of Kyiv, Kyiv, Ukraine</w:t>
      </w:r>
      <w:r>
        <w:rPr>
          <w:rFonts w:cs="Times New Roman"/>
          <w:sz w:val="24"/>
          <w:szCs w:val="24"/>
        </w:rPr>
        <w:t>)</w:t>
      </w:r>
      <w:r w:rsidRPr="00B249E8">
        <w:rPr>
          <w:rFonts w:cs="Times New Roman"/>
          <w:sz w:val="24"/>
          <w:szCs w:val="24"/>
          <w:lang w:val="uk-UA"/>
        </w:rPr>
        <w:t>.</w:t>
      </w:r>
      <w:r>
        <w:rPr>
          <w:rFonts w:cs="Times New Roman"/>
          <w:sz w:val="24"/>
          <w:szCs w:val="24"/>
          <w:lang w:val="uk-UA"/>
        </w:rPr>
        <w:t xml:space="preserve"> </w:t>
      </w:r>
    </w:p>
    <w:p w14:paraId="4732D07D" w14:textId="4205CB92" w:rsidR="00F617CF" w:rsidRPr="00F617CF" w:rsidRDefault="00F617CF" w:rsidP="00F617CF">
      <w:pPr>
        <w:pStyle w:val="a6"/>
        <w:numPr>
          <w:ilvl w:val="0"/>
          <w:numId w:val="7"/>
        </w:numPr>
        <w:spacing w:after="80"/>
        <w:contextualSpacing w:val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sz w:val="24"/>
          <w:szCs w:val="24"/>
        </w:rPr>
      </w:pPr>
      <w:r w:rsidRPr="00F617CF">
        <w:rPr>
          <w:rFonts w:cs="Times New Roman"/>
          <w:sz w:val="24"/>
          <w:szCs w:val="24"/>
          <w:lang w:val="uk-UA"/>
        </w:rPr>
        <w:t xml:space="preserve">Tkachenko, M.I. (2020). </w:t>
      </w:r>
      <w:r w:rsidRPr="00F617CF">
        <w:rPr>
          <w:rFonts w:cs="Times New Roman"/>
          <w:i/>
          <w:iCs/>
          <w:sz w:val="24"/>
          <w:szCs w:val="24"/>
          <w:lang w:val="uk-UA"/>
        </w:rPr>
        <w:t>Discourse analysis of political speeches in contemporary Ukrainian media</w:t>
      </w:r>
      <w:r w:rsidRPr="00F617CF">
        <w:rPr>
          <w:rFonts w:cs="Times New Roman"/>
          <w:sz w:val="24"/>
          <w:szCs w:val="24"/>
          <w:lang w:val="uk-UA"/>
        </w:rPr>
        <w:t xml:space="preserve">. (Doctoral dissertation, Taras Shevchenko National University of Kyiv, Kyiv, Ukraine). </w:t>
      </w:r>
    </w:p>
    <w:p w14:paraId="5FF266A7" w14:textId="2E2B1E36" w:rsidR="00583244" w:rsidRPr="003D1302" w:rsidRDefault="003D1302" w:rsidP="00583244">
      <w:pPr>
        <w:spacing w:after="0"/>
        <w:jc w:val="both"/>
        <w:rPr>
          <w:rFonts w:cs="Times New Roman"/>
          <w:b/>
          <w:sz w:val="24"/>
          <w:szCs w:val="24"/>
          <w:lang w:val="uk-UA"/>
        </w:rPr>
      </w:pPr>
      <w:r w:rsidRPr="003D1302">
        <w:rPr>
          <w:rFonts w:cs="Times New Roman"/>
          <w:b/>
          <w:sz w:val="24"/>
          <w:szCs w:val="24"/>
          <w:lang w:val="uk-UA"/>
        </w:rPr>
        <w:t>Законодавчі акти</w:t>
      </w:r>
      <w:r>
        <w:rPr>
          <w:rFonts w:cs="Times New Roman"/>
          <w:b/>
          <w:sz w:val="24"/>
          <w:szCs w:val="24"/>
          <w:lang w:val="uk-UA"/>
        </w:rPr>
        <w:t>:</w:t>
      </w:r>
    </w:p>
    <w:p w14:paraId="068E3F01" w14:textId="77777777" w:rsidR="00F617CF" w:rsidRDefault="00F617CF" w:rsidP="00F617CF">
      <w:pPr>
        <w:pStyle w:val="a6"/>
        <w:numPr>
          <w:ilvl w:val="0"/>
          <w:numId w:val="20"/>
        </w:numPr>
        <w:spacing w:after="80"/>
        <w:contextualSpacing w:val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sz w:val="24"/>
          <w:szCs w:val="24"/>
        </w:rPr>
      </w:pPr>
      <w:r w:rsidRPr="00AD233F">
        <w:rPr>
          <w:rFonts w:cs="Times New Roman"/>
          <w:sz w:val="24"/>
          <w:szCs w:val="24"/>
        </w:rPr>
        <w:t>Constitution of Ukraine. (1996,</w:t>
      </w:r>
      <w:r>
        <w:rPr>
          <w:rFonts w:cs="Times New Roman"/>
          <w:sz w:val="24"/>
          <w:szCs w:val="24"/>
          <w:lang w:val="uk-UA"/>
        </w:rPr>
        <w:t> </w:t>
      </w:r>
      <w:r w:rsidRPr="00AD233F">
        <w:rPr>
          <w:rFonts w:cs="Times New Roman"/>
          <w:sz w:val="24"/>
          <w:szCs w:val="24"/>
        </w:rPr>
        <w:t xml:space="preserve">June). Retrieved from </w:t>
      </w:r>
      <w:hyperlink r:id="rId9" w:anchor="Text" w:history="1">
        <w:r w:rsidRPr="00F74322">
          <w:rPr>
            <w:rStyle w:val="aa"/>
            <w:rFonts w:cs="Times New Roman"/>
            <w:sz w:val="24"/>
            <w:szCs w:val="24"/>
          </w:rPr>
          <w:t>https://zakon.rada.gov.ua/laws/show/254к/96-вр#Text</w:t>
        </w:r>
      </w:hyperlink>
      <w:r w:rsidRPr="00AD233F">
        <w:rPr>
          <w:rFonts w:cs="Times New Roman"/>
          <w:sz w:val="24"/>
          <w:szCs w:val="24"/>
        </w:rPr>
        <w:t>.</w:t>
      </w:r>
    </w:p>
    <w:p w14:paraId="1A13B2F3" w14:textId="7E36A151" w:rsidR="00F617CF" w:rsidRPr="009D045D" w:rsidRDefault="00F617CF" w:rsidP="00F617CF">
      <w:pPr>
        <w:pStyle w:val="a6"/>
        <w:numPr>
          <w:ilvl w:val="0"/>
          <w:numId w:val="20"/>
        </w:numPr>
        <w:spacing w:after="80"/>
        <w:contextualSpacing w:val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sz w:val="24"/>
          <w:szCs w:val="24"/>
        </w:rPr>
      </w:pPr>
      <w:r w:rsidRPr="009D045D">
        <w:rPr>
          <w:rFonts w:cs="Times New Roman"/>
          <w:sz w:val="24"/>
          <w:szCs w:val="24"/>
        </w:rPr>
        <w:lastRenderedPageBreak/>
        <w:t>Law of Ukraine No. 2704-VIII “On Supporting the Functioning of the Ukrainian Language as the State Language”. (</w:t>
      </w:r>
      <w:r w:rsidRPr="009D045D">
        <w:rPr>
          <w:rFonts w:cs="Times New Roman"/>
          <w:sz w:val="24"/>
          <w:szCs w:val="24"/>
          <w:lang w:val="uk-UA"/>
        </w:rPr>
        <w:t>2019</w:t>
      </w:r>
      <w:r w:rsidRPr="009D045D">
        <w:rPr>
          <w:rFonts w:cs="Times New Roman"/>
          <w:sz w:val="24"/>
          <w:szCs w:val="24"/>
        </w:rPr>
        <w:t xml:space="preserve">, April). Retrieved from </w:t>
      </w:r>
      <w:hyperlink r:id="rId10" w:history="1">
        <w:r w:rsidRPr="00682CA4">
          <w:rPr>
            <w:rStyle w:val="aa"/>
            <w:rFonts w:cs="Times New Roman"/>
            <w:sz w:val="24"/>
            <w:szCs w:val="24"/>
          </w:rPr>
          <w:t>https://zakon.rada.gov.ua/laws/show/2704-19?lang=en#Text</w:t>
        </w:r>
      </w:hyperlink>
      <w:r w:rsidRPr="009D045D">
        <w:rPr>
          <w:rFonts w:cs="Times New Roman"/>
          <w:sz w:val="24"/>
          <w:szCs w:val="24"/>
        </w:rPr>
        <w:t>.</w:t>
      </w:r>
    </w:p>
    <w:p w14:paraId="3800A2AF" w14:textId="77777777" w:rsidR="00F617CF" w:rsidRDefault="003D1302" w:rsidP="00F617CF">
      <w:pPr>
        <w:pStyle w:val="a8"/>
        <w:spacing w:before="0" w:beforeAutospacing="0" w:after="0" w:afterAutospacing="0"/>
        <w:rPr>
          <w:b/>
          <w:lang w:val="uk-UA"/>
        </w:rPr>
      </w:pPr>
      <w:r w:rsidRPr="003D1302">
        <w:rPr>
          <w:b/>
          <w:lang w:val="uk-UA"/>
        </w:rPr>
        <w:t>Веб-сторінки</w:t>
      </w:r>
      <w:r>
        <w:rPr>
          <w:b/>
          <w:lang w:val="uk-UA"/>
        </w:rPr>
        <w:t>:</w:t>
      </w:r>
    </w:p>
    <w:p w14:paraId="161CFF62" w14:textId="5547A137" w:rsidR="00F617CF" w:rsidRPr="00F617CF" w:rsidRDefault="00F617CF" w:rsidP="00F617CF">
      <w:pPr>
        <w:pStyle w:val="a8"/>
        <w:numPr>
          <w:ilvl w:val="0"/>
          <w:numId w:val="21"/>
        </w:numPr>
        <w:spacing w:before="0" w:beforeAutospacing="0" w:after="0" w:afterAutospacing="0"/>
        <w:rPr>
          <w:b/>
          <w:lang w:val="uk-UA"/>
        </w:rPr>
      </w:pPr>
      <w:r w:rsidRPr="00F617CF">
        <w:t xml:space="preserve">Official website of the State Statistics Service of Ukraine. (n.d.). Retrieved from </w:t>
      </w:r>
      <w:hyperlink r:id="rId11" w:history="1">
        <w:r w:rsidRPr="00F617CF">
          <w:rPr>
            <w:rStyle w:val="aa"/>
          </w:rPr>
          <w:t>http://www.ukrstat.gov.ua</w:t>
        </w:r>
      </w:hyperlink>
      <w:r w:rsidRPr="00F617CF">
        <w:t>.</w:t>
      </w:r>
    </w:p>
    <w:p w14:paraId="5E299848" w14:textId="3D5C39AA" w:rsidR="00E12454" w:rsidRPr="00F617CF" w:rsidRDefault="00E12454" w:rsidP="00F617CF">
      <w:pPr>
        <w:spacing w:after="0"/>
        <w:jc w:val="both"/>
        <w:rPr>
          <w:lang w:val="uk-UA"/>
        </w:rPr>
      </w:pPr>
      <w:bookmarkStart w:id="0" w:name="_GoBack"/>
      <w:bookmarkEnd w:id="0"/>
    </w:p>
    <w:sectPr w:rsidR="00E12454" w:rsidRPr="00F617CF" w:rsidSect="009C5297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949BD" w14:textId="77777777" w:rsidR="00531317" w:rsidRDefault="00531317" w:rsidP="00E97CA1">
      <w:pPr>
        <w:spacing w:after="0" w:line="240" w:lineRule="auto"/>
      </w:pPr>
      <w:r>
        <w:separator/>
      </w:r>
    </w:p>
  </w:endnote>
  <w:endnote w:type="continuationSeparator" w:id="0">
    <w:p w14:paraId="349208AA" w14:textId="77777777" w:rsidR="00531317" w:rsidRDefault="00531317" w:rsidP="00E9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24A04" w14:textId="77777777" w:rsidR="00531317" w:rsidRDefault="00531317" w:rsidP="00E97CA1">
      <w:pPr>
        <w:spacing w:after="0" w:line="240" w:lineRule="auto"/>
      </w:pPr>
      <w:r>
        <w:separator/>
      </w:r>
    </w:p>
  </w:footnote>
  <w:footnote w:type="continuationSeparator" w:id="0">
    <w:p w14:paraId="43CF7697" w14:textId="77777777" w:rsidR="00531317" w:rsidRDefault="00531317" w:rsidP="00E9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CE9"/>
    <w:multiLevelType w:val="hybridMultilevel"/>
    <w:tmpl w:val="79C2AA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41CD8"/>
    <w:multiLevelType w:val="hybridMultilevel"/>
    <w:tmpl w:val="93E43DB8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06E12211"/>
    <w:multiLevelType w:val="multilevel"/>
    <w:tmpl w:val="3F5C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743C7"/>
    <w:multiLevelType w:val="hybridMultilevel"/>
    <w:tmpl w:val="B6D22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55F1F"/>
    <w:multiLevelType w:val="hybridMultilevel"/>
    <w:tmpl w:val="66B839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9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1" w15:restartNumberingAfterBreak="0">
    <w:nsid w:val="49F041F7"/>
    <w:multiLevelType w:val="multilevel"/>
    <w:tmpl w:val="AC32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5736A3"/>
    <w:multiLevelType w:val="hybridMultilevel"/>
    <w:tmpl w:val="99C220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554F5"/>
    <w:multiLevelType w:val="hybridMultilevel"/>
    <w:tmpl w:val="15A6C6C6"/>
    <w:lvl w:ilvl="0" w:tplc="0422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5" w15:restartNumberingAfterBreak="0">
    <w:nsid w:val="600146D9"/>
    <w:multiLevelType w:val="hybridMultilevel"/>
    <w:tmpl w:val="4D8ED8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C6A22"/>
    <w:multiLevelType w:val="hybridMultilevel"/>
    <w:tmpl w:val="D3586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37433"/>
    <w:multiLevelType w:val="hybridMultilevel"/>
    <w:tmpl w:val="4C9A3034"/>
    <w:lvl w:ilvl="0" w:tplc="FFFFFFFF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9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C292D"/>
    <w:multiLevelType w:val="hybridMultilevel"/>
    <w:tmpl w:val="B650D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4"/>
  </w:num>
  <w:num w:numId="5">
    <w:abstractNumId w:val="7"/>
  </w:num>
  <w:num w:numId="6">
    <w:abstractNumId w:val="16"/>
  </w:num>
  <w:num w:numId="7">
    <w:abstractNumId w:val="0"/>
  </w:num>
  <w:num w:numId="8">
    <w:abstractNumId w:val="9"/>
  </w:num>
  <w:num w:numId="9">
    <w:abstractNumId w:val="18"/>
  </w:num>
  <w:num w:numId="10">
    <w:abstractNumId w:val="14"/>
  </w:num>
  <w:num w:numId="11">
    <w:abstractNumId w:val="15"/>
  </w:num>
  <w:num w:numId="12">
    <w:abstractNumId w:val="8"/>
  </w:num>
  <w:num w:numId="13">
    <w:abstractNumId w:val="12"/>
  </w:num>
  <w:num w:numId="14">
    <w:abstractNumId w:val="5"/>
  </w:num>
  <w:num w:numId="15">
    <w:abstractNumId w:val="6"/>
  </w:num>
  <w:num w:numId="16">
    <w:abstractNumId w:val="20"/>
  </w:num>
  <w:num w:numId="17">
    <w:abstractNumId w:val="19"/>
  </w:num>
  <w:num w:numId="18">
    <w:abstractNumId w:val="3"/>
  </w:num>
  <w:num w:numId="19">
    <w:abstractNumId w:val="10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9"/>
    <w:rsid w:val="000531C2"/>
    <w:rsid w:val="00067DDD"/>
    <w:rsid w:val="00083881"/>
    <w:rsid w:val="00093857"/>
    <w:rsid w:val="000B0026"/>
    <w:rsid w:val="000E7B5A"/>
    <w:rsid w:val="00100076"/>
    <w:rsid w:val="00103FBF"/>
    <w:rsid w:val="00112E21"/>
    <w:rsid w:val="00113C67"/>
    <w:rsid w:val="00124390"/>
    <w:rsid w:val="00130B6A"/>
    <w:rsid w:val="001314C7"/>
    <w:rsid w:val="001501A0"/>
    <w:rsid w:val="00152E63"/>
    <w:rsid w:val="00171606"/>
    <w:rsid w:val="001737A0"/>
    <w:rsid w:val="001761EC"/>
    <w:rsid w:val="001A2DAE"/>
    <w:rsid w:val="001C3F8B"/>
    <w:rsid w:val="001D6677"/>
    <w:rsid w:val="001E6720"/>
    <w:rsid w:val="001F05FC"/>
    <w:rsid w:val="001F16F5"/>
    <w:rsid w:val="001F6B32"/>
    <w:rsid w:val="0020603D"/>
    <w:rsid w:val="00233B14"/>
    <w:rsid w:val="00250F87"/>
    <w:rsid w:val="002548A7"/>
    <w:rsid w:val="002610B1"/>
    <w:rsid w:val="002646E6"/>
    <w:rsid w:val="00287361"/>
    <w:rsid w:val="002C2BDD"/>
    <w:rsid w:val="002D0FA7"/>
    <w:rsid w:val="002F5EBE"/>
    <w:rsid w:val="0030276E"/>
    <w:rsid w:val="00330034"/>
    <w:rsid w:val="0033249E"/>
    <w:rsid w:val="0034389A"/>
    <w:rsid w:val="00397A67"/>
    <w:rsid w:val="003A7DE7"/>
    <w:rsid w:val="003D1302"/>
    <w:rsid w:val="003E6764"/>
    <w:rsid w:val="0040142A"/>
    <w:rsid w:val="004076DB"/>
    <w:rsid w:val="00416B11"/>
    <w:rsid w:val="004370E2"/>
    <w:rsid w:val="00461869"/>
    <w:rsid w:val="00475F0B"/>
    <w:rsid w:val="00476FA3"/>
    <w:rsid w:val="00487C1B"/>
    <w:rsid w:val="00494F62"/>
    <w:rsid w:val="00495C05"/>
    <w:rsid w:val="00497263"/>
    <w:rsid w:val="004B675A"/>
    <w:rsid w:val="004C65AE"/>
    <w:rsid w:val="004D751C"/>
    <w:rsid w:val="004D7A5B"/>
    <w:rsid w:val="004F6519"/>
    <w:rsid w:val="005106A0"/>
    <w:rsid w:val="005254B1"/>
    <w:rsid w:val="00531317"/>
    <w:rsid w:val="00540E29"/>
    <w:rsid w:val="00546712"/>
    <w:rsid w:val="00553FB2"/>
    <w:rsid w:val="005649C7"/>
    <w:rsid w:val="005704F5"/>
    <w:rsid w:val="00571951"/>
    <w:rsid w:val="005823F8"/>
    <w:rsid w:val="00583244"/>
    <w:rsid w:val="00585098"/>
    <w:rsid w:val="005A4276"/>
    <w:rsid w:val="00607423"/>
    <w:rsid w:val="0061235E"/>
    <w:rsid w:val="00631C40"/>
    <w:rsid w:val="00653E8B"/>
    <w:rsid w:val="00657750"/>
    <w:rsid w:val="00664132"/>
    <w:rsid w:val="00673A2E"/>
    <w:rsid w:val="00693E4D"/>
    <w:rsid w:val="00697EA2"/>
    <w:rsid w:val="006B46F1"/>
    <w:rsid w:val="006F21D7"/>
    <w:rsid w:val="00716839"/>
    <w:rsid w:val="00756A1A"/>
    <w:rsid w:val="00763498"/>
    <w:rsid w:val="0076540D"/>
    <w:rsid w:val="007655A6"/>
    <w:rsid w:val="007823D4"/>
    <w:rsid w:val="007A7405"/>
    <w:rsid w:val="007F61EE"/>
    <w:rsid w:val="008052F6"/>
    <w:rsid w:val="00814C6A"/>
    <w:rsid w:val="0081500E"/>
    <w:rsid w:val="00841293"/>
    <w:rsid w:val="00846722"/>
    <w:rsid w:val="008505E9"/>
    <w:rsid w:val="008540D7"/>
    <w:rsid w:val="008923B1"/>
    <w:rsid w:val="008A3646"/>
    <w:rsid w:val="008B2A05"/>
    <w:rsid w:val="008C126B"/>
    <w:rsid w:val="008D3206"/>
    <w:rsid w:val="008E1DC6"/>
    <w:rsid w:val="009145A7"/>
    <w:rsid w:val="00914795"/>
    <w:rsid w:val="00916FD1"/>
    <w:rsid w:val="00920D08"/>
    <w:rsid w:val="00960D51"/>
    <w:rsid w:val="0097297C"/>
    <w:rsid w:val="009756FB"/>
    <w:rsid w:val="009823F3"/>
    <w:rsid w:val="00992B45"/>
    <w:rsid w:val="0099615E"/>
    <w:rsid w:val="009C5297"/>
    <w:rsid w:val="009D26D6"/>
    <w:rsid w:val="00A03B17"/>
    <w:rsid w:val="00A1025D"/>
    <w:rsid w:val="00A77DB8"/>
    <w:rsid w:val="00A9210A"/>
    <w:rsid w:val="00AB11CD"/>
    <w:rsid w:val="00AD6838"/>
    <w:rsid w:val="00B06DAC"/>
    <w:rsid w:val="00B50274"/>
    <w:rsid w:val="00B559D0"/>
    <w:rsid w:val="00B75104"/>
    <w:rsid w:val="00B834BE"/>
    <w:rsid w:val="00BB49B0"/>
    <w:rsid w:val="00BC057F"/>
    <w:rsid w:val="00BD2533"/>
    <w:rsid w:val="00BD49DD"/>
    <w:rsid w:val="00BD5B72"/>
    <w:rsid w:val="00BE12CB"/>
    <w:rsid w:val="00BE2279"/>
    <w:rsid w:val="00BF6C65"/>
    <w:rsid w:val="00C22855"/>
    <w:rsid w:val="00C34CC5"/>
    <w:rsid w:val="00C35611"/>
    <w:rsid w:val="00C368E9"/>
    <w:rsid w:val="00C424C2"/>
    <w:rsid w:val="00C671FA"/>
    <w:rsid w:val="00C817B5"/>
    <w:rsid w:val="00C81DF0"/>
    <w:rsid w:val="00C87E31"/>
    <w:rsid w:val="00C93F1E"/>
    <w:rsid w:val="00CB22EE"/>
    <w:rsid w:val="00CC6B30"/>
    <w:rsid w:val="00CD291E"/>
    <w:rsid w:val="00D21F76"/>
    <w:rsid w:val="00D33C5B"/>
    <w:rsid w:val="00D41285"/>
    <w:rsid w:val="00D94876"/>
    <w:rsid w:val="00DA6F77"/>
    <w:rsid w:val="00DA70EF"/>
    <w:rsid w:val="00DB631D"/>
    <w:rsid w:val="00DC582E"/>
    <w:rsid w:val="00DD4940"/>
    <w:rsid w:val="00DE4262"/>
    <w:rsid w:val="00DF24AA"/>
    <w:rsid w:val="00E008A5"/>
    <w:rsid w:val="00E12454"/>
    <w:rsid w:val="00E274B1"/>
    <w:rsid w:val="00E27FF8"/>
    <w:rsid w:val="00E346B4"/>
    <w:rsid w:val="00E6740E"/>
    <w:rsid w:val="00E70173"/>
    <w:rsid w:val="00E7037A"/>
    <w:rsid w:val="00E97CA1"/>
    <w:rsid w:val="00EA180E"/>
    <w:rsid w:val="00EB706B"/>
    <w:rsid w:val="00EE7BF2"/>
    <w:rsid w:val="00EF4641"/>
    <w:rsid w:val="00EF6BAB"/>
    <w:rsid w:val="00F0205D"/>
    <w:rsid w:val="00F0373D"/>
    <w:rsid w:val="00F051C2"/>
    <w:rsid w:val="00F617CF"/>
    <w:rsid w:val="00F75EFA"/>
    <w:rsid w:val="00F81DF9"/>
    <w:rsid w:val="00FD4326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285"/>
  <w15:chartTrackingRefBased/>
  <w15:docId w15:val="{2229B32B-DB5C-4281-9EDF-00386CB1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-noindent">
    <w:name w:val="Normal-no indent"/>
    <w:basedOn w:val="a"/>
    <w:rsid w:val="00E97CA1"/>
    <w:pPr>
      <w:spacing w:after="0" w:line="240" w:lineRule="auto"/>
      <w:jc w:val="both"/>
    </w:pPr>
    <w:rPr>
      <w:rFonts w:eastAsia="Times New Roman" w:cs="Times New Roman"/>
      <w:sz w:val="20"/>
      <w:szCs w:val="20"/>
      <w:lang w:val="en-GB"/>
    </w:rPr>
  </w:style>
  <w:style w:type="paragraph" w:styleId="a3">
    <w:name w:val="footnote text"/>
    <w:basedOn w:val="a"/>
    <w:link w:val="a4"/>
    <w:rsid w:val="00E97CA1"/>
    <w:pPr>
      <w:spacing w:after="0" w:line="240" w:lineRule="auto"/>
      <w:jc w:val="both"/>
    </w:pPr>
    <w:rPr>
      <w:rFonts w:eastAsia="Times New Roman" w:cs="Times New Roman"/>
      <w:sz w:val="24"/>
      <w:szCs w:val="24"/>
      <w:lang w:val="en-GB"/>
    </w:rPr>
  </w:style>
  <w:style w:type="character" w:customStyle="1" w:styleId="a4">
    <w:name w:val="Текст сноски Знак"/>
    <w:basedOn w:val="a0"/>
    <w:link w:val="a3"/>
    <w:rsid w:val="00E97CA1"/>
    <w:rPr>
      <w:rFonts w:eastAsia="Times New Roman" w:cs="Times New Roman"/>
      <w:sz w:val="24"/>
      <w:szCs w:val="24"/>
      <w:lang w:val="en-GB"/>
    </w:rPr>
  </w:style>
  <w:style w:type="character" w:styleId="a5">
    <w:name w:val="footnote reference"/>
    <w:basedOn w:val="a0"/>
    <w:uiPriority w:val="99"/>
    <w:rsid w:val="00E97CA1"/>
    <w:rPr>
      <w:vertAlign w:val="superscript"/>
    </w:rPr>
  </w:style>
  <w:style w:type="paragraph" w:customStyle="1" w:styleId="abstract">
    <w:name w:val="abstract"/>
    <w:basedOn w:val="a"/>
    <w:rsid w:val="00E97CA1"/>
    <w:pPr>
      <w:spacing w:before="240" w:after="240" w:line="240" w:lineRule="auto"/>
      <w:ind w:left="567" w:right="567"/>
      <w:jc w:val="both"/>
    </w:pPr>
    <w:rPr>
      <w:rFonts w:eastAsia="Times New Roman" w:cs="Times New Roman"/>
      <w:i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8A3646"/>
    <w:pPr>
      <w:ind w:left="720"/>
      <w:contextualSpacing/>
    </w:pPr>
  </w:style>
  <w:style w:type="table" w:styleId="a7">
    <w:name w:val="Table Grid"/>
    <w:basedOn w:val="a1"/>
    <w:uiPriority w:val="39"/>
    <w:rsid w:val="0099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274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B2A05"/>
    <w:rPr>
      <w:b/>
      <w:bCs/>
    </w:rPr>
  </w:style>
  <w:style w:type="character" w:styleId="aa">
    <w:name w:val="Hyperlink"/>
    <w:basedOn w:val="a0"/>
    <w:uiPriority w:val="99"/>
    <w:unhideWhenUsed/>
    <w:rsid w:val="00475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19676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none" w:sz="0" w:space="0" w:color="auto"/>
              </w:divBdr>
              <w:divsChild>
                <w:div w:id="2052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rstat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704-19?lang=en#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&#1082;/96-&#1074;&#108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80811-E5DF-4F77-BE71-4EEEE226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Автор</cp:lastModifiedBy>
  <cp:revision>3</cp:revision>
  <dcterms:created xsi:type="dcterms:W3CDTF">2025-10-08T11:01:00Z</dcterms:created>
  <dcterms:modified xsi:type="dcterms:W3CDTF">2025-10-10T08:36:00Z</dcterms:modified>
</cp:coreProperties>
</file>